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6532A" w14:textId="7C9F47D7" w:rsidR="005E2DD4" w:rsidRPr="005E2DD4" w:rsidRDefault="005E2DD4" w:rsidP="005E2DD4">
      <w:pPr>
        <w:spacing w:after="0" w:line="240" w:lineRule="auto"/>
        <w:jc w:val="center"/>
        <w:rPr>
          <w:rFonts w:ascii="Calibri,Bold" w:hAnsi="Calibri,Bold" w:cs="Calibri,Bold"/>
          <w:b/>
          <w:bCs/>
          <w:sz w:val="36"/>
          <w:szCs w:val="36"/>
          <w:lang w:val="en-US"/>
        </w:rPr>
      </w:pPr>
      <w:r w:rsidRPr="005E2DD4">
        <w:rPr>
          <w:rFonts w:ascii="Calibri,Bold" w:hAnsi="Calibri,Bold" w:cs="Calibri,Bold"/>
          <w:b/>
          <w:bCs/>
          <w:sz w:val="36"/>
          <w:szCs w:val="36"/>
          <w:lang w:val="en-US"/>
        </w:rPr>
        <w:t xml:space="preserve">Lotto n. </w:t>
      </w:r>
      <w:r w:rsidR="00F04374">
        <w:rPr>
          <w:rFonts w:ascii="Calibri,Bold" w:hAnsi="Calibri,Bold" w:cs="Calibri,Bold"/>
          <w:b/>
          <w:bCs/>
          <w:sz w:val="36"/>
          <w:szCs w:val="36"/>
          <w:lang w:val="en-US"/>
        </w:rPr>
        <w:t xml:space="preserve">4 </w:t>
      </w:r>
      <w:r w:rsidRPr="005E2DD4">
        <w:rPr>
          <w:rFonts w:ascii="Calibri,Bold" w:hAnsi="Calibri,Bold" w:cs="Calibri,Bold"/>
          <w:b/>
          <w:bCs/>
          <w:sz w:val="36"/>
          <w:szCs w:val="36"/>
          <w:lang w:val="en-US"/>
        </w:rPr>
        <w:t>All Risks Fine Art</w:t>
      </w:r>
    </w:p>
    <w:p w14:paraId="3141504B" w14:textId="77777777" w:rsidR="005E2DD4" w:rsidRPr="005E2DD4" w:rsidRDefault="005E2DD4" w:rsidP="005E2DD4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  <w:lang w:val="en-US"/>
        </w:rPr>
      </w:pPr>
    </w:p>
    <w:p w14:paraId="31B22583" w14:textId="77777777" w:rsidR="005E2DD4" w:rsidRDefault="005E2DD4" w:rsidP="005E2DD4">
      <w:pPr>
        <w:spacing w:after="0" w:line="240" w:lineRule="auto"/>
      </w:pPr>
      <w:r>
        <w:rPr>
          <w:rFonts w:ascii="Tahoma" w:hAnsi="Tahoma" w:cs="Tahoma"/>
          <w:sz w:val="20"/>
        </w:rPr>
        <w:t xml:space="preserve">Le </w:t>
      </w:r>
      <w:r>
        <w:rPr>
          <w:rFonts w:ascii="Tahoma" w:hAnsi="Tahoma" w:cs="Tahoma"/>
          <w:sz w:val="20"/>
          <w:szCs w:val="20"/>
        </w:rPr>
        <w:t xml:space="preserve">varianti ammesse e previste </w:t>
      </w:r>
      <w:r>
        <w:rPr>
          <w:rFonts w:ascii="Tahoma" w:hAnsi="Tahoma" w:cs="Tahoma"/>
          <w:sz w:val="20"/>
        </w:rPr>
        <w:t>sono esclusivamente quelle di seguito enumerate e descritte.</w:t>
      </w:r>
    </w:p>
    <w:p w14:paraId="1A55EB62" w14:textId="77777777" w:rsidR="005E2DD4" w:rsidRDefault="005E2DD4" w:rsidP="005E2DD4">
      <w:pPr>
        <w:spacing w:before="60" w:after="0" w:line="240" w:lineRule="auto"/>
        <w:jc w:val="both"/>
        <w:rPr>
          <w:rFonts w:ascii="Tahoma" w:hAnsi="Tahoma" w:cs="Tahoma"/>
          <w:color w:val="000009"/>
          <w:sz w:val="20"/>
        </w:rPr>
      </w:pPr>
      <w:r>
        <w:rPr>
          <w:rFonts w:ascii="Tahoma" w:hAnsi="Tahoma" w:cs="Tahoma"/>
          <w:sz w:val="20"/>
        </w:rPr>
        <w:t>Al Concorrente c</w:t>
      </w:r>
      <w:r>
        <w:rPr>
          <w:rFonts w:ascii="Tahoma" w:hAnsi="Tahoma" w:cs="Tahoma"/>
          <w:color w:val="000009"/>
          <w:sz w:val="20"/>
        </w:rPr>
        <w:t>he avrà offerto e sottoscritto la variante indicata, verrà attribuito il punteggio assegnato a quella specifica variante; al Concorrente che non avrà offerto e sottoscritto quella specifica variante, non verrà attribuito alcun punteggio aggiuntivo.</w:t>
      </w:r>
    </w:p>
    <w:p w14:paraId="2CDEEB11" w14:textId="6E4AD00E" w:rsidR="000D2E6B" w:rsidRDefault="000D2E6B" w:rsidP="005E2DD4">
      <w:pPr>
        <w:spacing w:before="60" w:after="0" w:line="240" w:lineRule="auto"/>
        <w:jc w:val="both"/>
      </w:pPr>
    </w:p>
    <w:p w14:paraId="6E2A149B" w14:textId="77777777" w:rsidR="00E263D7" w:rsidRPr="00E263D7" w:rsidRDefault="00E263D7" w:rsidP="00E263D7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b/>
          <w:bCs/>
          <w:i/>
          <w:iCs/>
          <w:color w:val="000009"/>
          <w:sz w:val="20"/>
        </w:rPr>
      </w:pPr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>N.B: tutte le varianti che non saranno chiaramente contrassegnate da un segno di spunta</w:t>
      </w:r>
      <w:r w:rsidRPr="00E263D7">
        <w:rPr>
          <w:rFonts w:ascii="Tahoma" w:hAnsi="Tahoma" w:cs="Tahoma"/>
          <w:color w:val="000009"/>
          <w:sz w:val="20"/>
        </w:rPr>
        <w:br/>
      </w:r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>saranno considerate come NON OFFERTE, ed il relativo punteggio assegnato sarà pari a</w:t>
      </w:r>
      <w:r w:rsidRPr="00E263D7">
        <w:rPr>
          <w:rFonts w:ascii="Tahoma" w:hAnsi="Tahoma" w:cs="Tahoma"/>
          <w:color w:val="000009"/>
          <w:sz w:val="20"/>
        </w:rPr>
        <w:br/>
      </w:r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 xml:space="preserve">0 (zero) punti. Nel caso fossero barrate più </w:t>
      </w:r>
      <w:proofErr w:type="gramStart"/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>opzioni alternative</w:t>
      </w:r>
      <w:proofErr w:type="gramEnd"/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 xml:space="preserve"> relativamente ad una</w:t>
      </w:r>
      <w:r w:rsidRPr="00E263D7">
        <w:rPr>
          <w:rFonts w:ascii="Tahoma" w:hAnsi="Tahoma" w:cs="Tahoma"/>
          <w:color w:val="000009"/>
          <w:sz w:val="20"/>
        </w:rPr>
        <w:br/>
      </w:r>
      <w:r w:rsidRPr="00E263D7">
        <w:rPr>
          <w:rFonts w:ascii="Tahoma" w:hAnsi="Tahoma" w:cs="Tahoma"/>
          <w:b/>
          <w:bCs/>
          <w:i/>
          <w:iCs/>
          <w:color w:val="000009"/>
          <w:sz w:val="20"/>
        </w:rPr>
        <w:t>medesima variante, verrà conteggiata unicamente l’opzione con maggiore punteggio.</w:t>
      </w:r>
    </w:p>
    <w:p w14:paraId="5F656795" w14:textId="77777777" w:rsidR="00E263D7" w:rsidRPr="00E263D7" w:rsidRDefault="00E263D7" w:rsidP="00E263D7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color w:val="000009"/>
          <w:sz w:val="20"/>
        </w:rPr>
      </w:pPr>
      <w:r w:rsidRPr="00E263D7">
        <w:rPr>
          <w:rFonts w:ascii="Tahoma" w:hAnsi="Tahoma" w:cs="Tahoma"/>
          <w:color w:val="000009"/>
          <w:sz w:val="20"/>
        </w:rPr>
        <w:br/>
        <w:t>Rimane ferma la facoltà per la Commissione di escludere il Concorrente</w:t>
      </w:r>
      <w:r w:rsidRPr="00E263D7">
        <w:rPr>
          <w:rFonts w:ascii="Tahoma" w:hAnsi="Tahoma" w:cs="Tahoma"/>
          <w:color w:val="000009"/>
          <w:sz w:val="20"/>
        </w:rPr>
        <w:br/>
        <w:t>dalla gara e di non procedere all’apertura dell’Offerta Economica nel caso di un’Offerta</w:t>
      </w:r>
      <w:r w:rsidRPr="00E263D7">
        <w:rPr>
          <w:rFonts w:ascii="Tahoma" w:hAnsi="Tahoma" w:cs="Tahoma"/>
          <w:color w:val="000009"/>
          <w:sz w:val="20"/>
        </w:rPr>
        <w:br/>
        <w:t>Tecnica che nel suo complesso o in relazione a specifiche varianti peggiorative, così</w:t>
      </w:r>
      <w:r w:rsidRPr="00E263D7">
        <w:rPr>
          <w:rFonts w:ascii="Tahoma" w:hAnsi="Tahoma" w:cs="Tahoma"/>
          <w:color w:val="000009"/>
          <w:sz w:val="20"/>
        </w:rPr>
        <w:br/>
        <w:t>come proposta, svuoti la ratio della copertura prestata spostando, nella sostanza, sul</w:t>
      </w:r>
      <w:r w:rsidRPr="00E263D7">
        <w:rPr>
          <w:rFonts w:ascii="Tahoma" w:hAnsi="Tahoma" w:cs="Tahoma"/>
          <w:color w:val="000009"/>
          <w:sz w:val="20"/>
        </w:rPr>
        <w:br/>
        <w:t>Contraente/assicurato le conseguenze economiche del verificarsi dell’evento dannoso,</w:t>
      </w:r>
      <w:r w:rsidRPr="00E263D7">
        <w:rPr>
          <w:rFonts w:ascii="Tahoma" w:hAnsi="Tahoma" w:cs="Tahoma"/>
          <w:color w:val="000009"/>
          <w:sz w:val="20"/>
        </w:rPr>
        <w:br/>
        <w:t>ovvero spostando la soglia di intervento della garanzia a un punto o a condizioni tali</w:t>
      </w:r>
      <w:r w:rsidRPr="00E263D7">
        <w:rPr>
          <w:rFonts w:ascii="Tahoma" w:hAnsi="Tahoma" w:cs="Tahoma"/>
          <w:color w:val="000009"/>
          <w:sz w:val="20"/>
        </w:rPr>
        <w:br/>
        <w:t>da rendere non conveniente la stipula della polizza stessa.</w:t>
      </w:r>
    </w:p>
    <w:p w14:paraId="471C9E93" w14:textId="2FFC400D" w:rsidR="00E263D7" w:rsidRDefault="00E263D7" w:rsidP="005E2DD4">
      <w:pPr>
        <w:spacing w:before="60" w:after="0" w:line="240" w:lineRule="auto"/>
        <w:jc w:val="both"/>
      </w:pPr>
    </w:p>
    <w:p w14:paraId="7B31F39B" w14:textId="77777777" w:rsidR="00E263D7" w:rsidRDefault="00E263D7" w:rsidP="005E2DD4">
      <w:pPr>
        <w:spacing w:before="60" w:after="0" w:line="240" w:lineRule="auto"/>
        <w:jc w:val="both"/>
      </w:pPr>
    </w:p>
    <w:tbl>
      <w:tblPr>
        <w:tblW w:w="9746" w:type="dxa"/>
        <w:tblInd w:w="11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137"/>
        <w:gridCol w:w="6609"/>
      </w:tblGrid>
      <w:tr w:rsidR="000D2E6B" w:rsidRPr="00AB1B90" w14:paraId="1072FEA8" w14:textId="77777777" w:rsidTr="00DF4642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3D14A32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F184098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1)</w:t>
            </w:r>
          </w:p>
        </w:tc>
      </w:tr>
      <w:tr w:rsidR="000D2E6B" w:rsidRPr="00AB1B90" w14:paraId="0EE8ECC5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3B30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7734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1 – Durata del contratto</w:t>
            </w:r>
          </w:p>
        </w:tc>
      </w:tr>
      <w:tr w:rsidR="000D2E6B" w:rsidRPr="00AB1B90" w14:paraId="7565082B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042E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F3D1E8A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6C99F6C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E5D9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77F9A15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Rinuncia da parte della Società alla facoltà di recesso annuale dal contratto.</w:t>
            </w:r>
          </w:p>
          <w:p w14:paraId="7547192D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439DD5CC" w14:textId="52990E82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3E568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  <w:p w14:paraId="191FD618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D2E6B" w:rsidRPr="00AB1B90" w14:paraId="7749E8F8" w14:textId="77777777" w:rsidTr="00B011B9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FF75554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E914D29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2)</w:t>
            </w:r>
          </w:p>
        </w:tc>
      </w:tr>
      <w:tr w:rsidR="000D2E6B" w:rsidRPr="00AB1B90" w14:paraId="6A671A32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7272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5134" w14:textId="77777777" w:rsidR="00190AD3" w:rsidRDefault="00190AD3" w:rsidP="00190AD3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9: Facoltà di recesso - recesso in caso di sinistro</w:t>
            </w:r>
          </w:p>
          <w:p w14:paraId="3FE25F19" w14:textId="40EA1859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D2E6B" w:rsidRPr="00AB1B90" w14:paraId="5F6F1841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E162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92731B0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FA9F28C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B4E1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Rinuncia da parte della Società, dopo ogni sinistro e sino al sessantesimo giorno successivo alla sua definizione, alla facoltà di recedere dall’assicurazione mediante comunicazione al contraente con lettera raccomandata A.R.</w:t>
            </w:r>
          </w:p>
          <w:p w14:paraId="7C8A1BA3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9533ED0" w14:textId="0FB7484A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3E568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  <w:p w14:paraId="699DA27A" w14:textId="77777777" w:rsidR="000D2E6B" w:rsidRPr="00AB1B90" w:rsidRDefault="000D2E6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DD6F87" w:rsidRPr="00AB1B90" w14:paraId="0855D4DF" w14:textId="77777777" w:rsidTr="00DF4642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AEEE7EE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A44469D" w14:textId="66F0F738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F87" w:rsidRPr="00AB1B90" w14:paraId="13F25633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2EB3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7200" w14:textId="1D5B84DA" w:rsidR="00123B7B" w:rsidRPr="00AB1B90" w:rsidRDefault="00123B7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23B7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26: Spostamento, movimentazione e trasporto dei beni</w:t>
            </w:r>
          </w:p>
        </w:tc>
      </w:tr>
      <w:tr w:rsidR="00DD6F87" w:rsidRPr="00AB1B90" w14:paraId="524BC31B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A117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4EDE2E5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526487B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AF19" w14:textId="77777777" w:rsidR="00432A62" w:rsidRDefault="00432A62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Applicazione della seguente previsione</w:t>
            </w:r>
          </w:p>
          <w:p w14:paraId="506E8AEE" w14:textId="77777777" w:rsidR="00432A62" w:rsidRDefault="00432A62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B76AF20" w14:textId="676608DA" w:rsidR="00DD6F87" w:rsidRDefault="009B469B" w:rsidP="00474F69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9B469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Tale clausola vale esclusivamente per cose assicurate il cui valore complessivo non</w:t>
            </w:r>
            <w:r w:rsidR="00432A6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9B469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sia superiore ad € 100.000,00 per singolo trasporto</w:t>
            </w:r>
          </w:p>
          <w:p w14:paraId="75ADD25D" w14:textId="37012D0B" w:rsidR="00432A62" w:rsidRDefault="00C163C2" w:rsidP="00474F69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Contraente è tenuto a comunicare alla Società il trasporto di beni assicurati di importo superiore ad € 100.000,00 per singolo trasporto, per i quali la Società potrà richiedere, valutando l’aggravamento del rischio, uno specifico </w:t>
            </w:r>
            <w:proofErr w:type="spellStart"/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sovrappremio</w:t>
            </w:r>
            <w:proofErr w:type="spellEnd"/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prima dell’effettuazione del trasporto</w:t>
            </w:r>
          </w:p>
          <w:p w14:paraId="0F3F6C2E" w14:textId="77777777" w:rsidR="00474F69" w:rsidRDefault="00474F69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A0DBB43" w14:textId="54A34FC3" w:rsidR="00432A62" w:rsidRDefault="00432A62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 luogo di </w:t>
            </w:r>
          </w:p>
          <w:p w14:paraId="3B638EED" w14:textId="77777777" w:rsidR="00474F69" w:rsidRDefault="00474F69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9264CE4" w14:textId="77777777" w:rsidR="00C163C2" w:rsidRPr="00C163C2" w:rsidRDefault="00C163C2" w:rsidP="00474F69">
            <w:pPr>
              <w:tabs>
                <w:tab w:val="left" w:pos="284"/>
                <w:tab w:val="left" w:pos="567"/>
              </w:tabs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163C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Tale clausola vale esclusivamente per cose assicurate il cui valore complessivo non sia superiore ad € 60.000,00 per singolo trasporto.</w:t>
            </w:r>
          </w:p>
          <w:p w14:paraId="2DE3FEAE" w14:textId="3D60822C" w:rsidR="00432A62" w:rsidRDefault="00C163C2" w:rsidP="00474F69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Il Contraente è tenuto a comunicare alla Società il trasporto di beni assicurati di importo superiore ad € 60.000,00 per singolo trasporto, per i quali la Società potrà richiedere, valutando l’aggravamento del rischio, uno specifico </w:t>
            </w:r>
            <w:proofErr w:type="spellStart"/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sovrappremio</w:t>
            </w:r>
            <w:proofErr w:type="spellEnd"/>
            <w:r w:rsidRPr="00474F6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prima dell’effettuazione del trasporto</w:t>
            </w:r>
          </w:p>
          <w:p w14:paraId="17D8BA37" w14:textId="77777777" w:rsidR="00432A62" w:rsidRPr="00AB1B90" w:rsidRDefault="00432A62" w:rsidP="009B469B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3293E15" w14:textId="23B29D0C" w:rsidR="00DD6F87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0E27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  <w:p w14:paraId="05950990" w14:textId="77777777" w:rsidR="00AD5DDB" w:rsidRDefault="00AD5DD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E562D1B" w14:textId="77777777" w:rsidR="00AD5DDB" w:rsidRDefault="00AD5DD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66E34E0" w14:textId="77777777" w:rsidR="00AD5DDB" w:rsidRDefault="00AD5DD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105AA9B6" w14:textId="77777777" w:rsidR="00AD5DDB" w:rsidRPr="00AB1B90" w:rsidRDefault="00AD5DD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03F9533" w14:textId="77777777" w:rsidR="00DD6F87" w:rsidRPr="00AB1B90" w:rsidRDefault="00DD6F8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1716EC" w:rsidRPr="00AB1B90" w14:paraId="4A13C0B2" w14:textId="77777777" w:rsidTr="00B011B9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586B58D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BEFD038" w14:textId="7F34F7C9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716EC" w:rsidRPr="00AB1B90" w14:paraId="14B99619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4A06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AE75" w14:textId="12747BB8" w:rsidR="001716EC" w:rsidRPr="00AB1B90" w:rsidRDefault="002B2E9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2B2E9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31: Mezzi di chiusura non conformi</w:t>
            </w:r>
          </w:p>
        </w:tc>
      </w:tr>
      <w:tr w:rsidR="001716EC" w:rsidRPr="00AB1B90" w14:paraId="6ECA34B5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FD86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166DB940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A688F3D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D978" w14:textId="77777777" w:rsidR="001716EC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Applicazione della seguente previsione</w:t>
            </w:r>
          </w:p>
          <w:p w14:paraId="40E2C748" w14:textId="77777777" w:rsidR="001716EC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302E5D5" w14:textId="708EFD23" w:rsidR="001716EC" w:rsidRDefault="005E39FF" w:rsidP="005E39FF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Qualora un furto venga perpetrato attraverso mezzi di chiusura non corrispondenti ai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requisiti indicati all’Articolo che precede – Mezzi di chiusura dei locali - o che l’impianto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dall’allarme, laddove presente, sia guasto o non funzionante non per causa degli attori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del furto, si dà e si conviene che il risarcimento verrà comunque corrisposto ma con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l’applicazione di uno scoperto del 10% dell’ammontare del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anno e con un minimo non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5E39F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indennizzabile pari a €uro 500,00</w:t>
            </w:r>
          </w:p>
          <w:p w14:paraId="5699FC27" w14:textId="77777777" w:rsidR="005E39FF" w:rsidRDefault="005E39FF" w:rsidP="005E39FF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1380162" w14:textId="77777777" w:rsidR="001716EC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 luogo di </w:t>
            </w:r>
          </w:p>
          <w:p w14:paraId="78D0BDCF" w14:textId="77777777" w:rsidR="009C078E" w:rsidRDefault="009C078E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C2EA3C8" w14:textId="5C54C039" w:rsidR="009C078E" w:rsidRDefault="009C078E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9C078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Qualora un furto venga perpetrato attraverso mezzi di chiusura non corrispondenti ai requisiti indicati all’Articolo che precede – Mezzi di chiusura dei locali - o che l’impianto dall’allarme, laddove presente, sia guasto o non funzionante non per causa degli attori del furto, si dà e si conviene che il risarcimento verrà comunque corrisposto ma con l’applicazione di uno scoperto del 20% dell’ammontare del danno e con un minimo non indennizzabile pari a €uro 1.000,00.</w:t>
            </w:r>
          </w:p>
          <w:p w14:paraId="5B7C6E49" w14:textId="77777777" w:rsidR="002B2E96" w:rsidRDefault="002B2E9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C90F7E9" w14:textId="540B3C91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0E27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  <w:p w14:paraId="2083791E" w14:textId="77777777" w:rsidR="001716EC" w:rsidRPr="00AB1B90" w:rsidRDefault="001716EC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A088B" w:rsidRPr="00AB1B90" w14:paraId="2A7021A6" w14:textId="77777777" w:rsidTr="00DF4642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05ACF0B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6C5B9A7" w14:textId="7F88ABF4" w:rsidR="000A088B" w:rsidRPr="00AB1B90" w:rsidRDefault="00882DB7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  <w:r w:rsidR="000A088B"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A088B" w:rsidRPr="00AB1B90" w14:paraId="239BF7FD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98F3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6C3B" w14:textId="5B84F866" w:rsidR="000A088B" w:rsidRPr="00AB1B90" w:rsidRDefault="00B701BF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B701B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32: Condizioni di efficacia dell’assicurazione per la giacenza</w:t>
            </w:r>
          </w:p>
        </w:tc>
      </w:tr>
      <w:tr w:rsidR="000A088B" w:rsidRPr="00AB1B90" w14:paraId="65F0032A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759C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7FDAD33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9EA5AF7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7C9C" w14:textId="77777777" w:rsidR="000A088B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Applicazione della seguente previsione</w:t>
            </w:r>
          </w:p>
          <w:p w14:paraId="53A9666E" w14:textId="77777777" w:rsidR="000A088B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AB7B606" w14:textId="4CD6EFE4" w:rsidR="000A088B" w:rsidRDefault="00AF0F9D" w:rsidP="00AF0F9D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</w:t>
            </w:r>
            <w:r w:rsidRPr="00AF0F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 deroga a quanto indicato ai punti che precedono i danni e/o le perdite derivanti da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AF0F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furto avvenuti quando, per qualsiasi motivo, non esistano o non siano operanti i mezzi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AF0F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di prevenzione e/o protezione e/o chiusura sopra indicati, verranno risarciti con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AF0F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l’applicazione di uno scoperto del 10% dell’ammontare del danno e con un minimo non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AF0F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indennizzabile pari a €uro 500,00.</w:t>
            </w:r>
          </w:p>
          <w:p w14:paraId="64CED46D" w14:textId="77777777" w:rsidR="000A088B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 luogo di </w:t>
            </w:r>
          </w:p>
          <w:p w14:paraId="6DB8480A" w14:textId="77777777" w:rsidR="000A088B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1B09DCB" w14:textId="22F84E4A" w:rsidR="000A088B" w:rsidRDefault="00C03A3E" w:rsidP="00C03A3E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03A3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In deroga a quanto indicato ai punti che precedono i danni e/o le perdite derivanti da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C03A3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furto avvenuti quando, per qualsiasi motivo, non esistano o non siano operanti i mezzi di prevenzione e/o protezione e/o chiusura sopra indicati, verranno risarciti con l’applicazione di uno scoperto del 20% dell’ammontare del danno e con un minimo non indennizzabile pari a €uro 1.000,00.</w:t>
            </w:r>
          </w:p>
          <w:p w14:paraId="7FA25FD1" w14:textId="77777777" w:rsidR="000A088B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1342C46C" w14:textId="7FA0F246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 xml:space="preserve">PUNTI ATTRIBUIBILI: + </w:t>
            </w:r>
            <w:r w:rsidR="00CD76F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  <w:p w14:paraId="03762181" w14:textId="77777777" w:rsidR="000A088B" w:rsidRPr="00AB1B90" w:rsidRDefault="000A088B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467436" w:rsidRPr="00AB1B90" w14:paraId="5D076436" w14:textId="77777777" w:rsidTr="00B011B9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2F1A0DE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AB56C45" w14:textId="6E53CE33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467436" w:rsidRPr="00AB1B90" w14:paraId="6056D92B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0F4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44B0" w14:textId="76E32AD0" w:rsidR="00467436" w:rsidRPr="00AB1B90" w:rsidRDefault="00C27296" w:rsidP="00C27296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34 Furto con destrezza</w:t>
            </w:r>
          </w:p>
        </w:tc>
      </w:tr>
      <w:tr w:rsidR="00467436" w:rsidRPr="00AB1B90" w14:paraId="0C27B95C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087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C76692F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5AE30E0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D3ED" w14:textId="7E97B83E" w:rsidR="00550896" w:rsidRPr="00550896" w:rsidRDefault="00AC2F19" w:rsidP="00550896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Elevazione de</w:t>
            </w:r>
            <w:r w:rsidR="00C2729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 limite di indennizzo</w:t>
            </w:r>
          </w:p>
          <w:p w14:paraId="1F6C0E9E" w14:textId="32032A07" w:rsidR="00467436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D432FCA" w14:textId="5DC8F0ED" w:rsidR="00550896" w:rsidRDefault="0055089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</w:t>
            </w:r>
            <w:r w:rsidR="00C901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euro </w:t>
            </w:r>
          </w:p>
          <w:p w14:paraId="543CC40F" w14:textId="77777777" w:rsidR="00550896" w:rsidRDefault="0055089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CF29C2D" w14:textId="7849657F" w:rsidR="00550896" w:rsidRDefault="0055089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 </w:t>
            </w:r>
            <w:r w:rsidR="00C9019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  <w:r w:rsidR="00F60A2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euro </w:t>
            </w:r>
          </w:p>
          <w:p w14:paraId="5D498179" w14:textId="77777777" w:rsidR="00AC2F19" w:rsidRPr="00AB1B90" w:rsidRDefault="00AC2F19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F799081" w14:textId="40B46928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49179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  <w:p w14:paraId="45A954D1" w14:textId="77777777" w:rsidR="00467436" w:rsidRPr="00AB1B90" w:rsidRDefault="00467436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CB5000" w:rsidRPr="00AB1B90" w14:paraId="68AADA28" w14:textId="77777777" w:rsidTr="00DF4642">
        <w:trPr>
          <w:trHeight w:val="292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D824DC8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AEEDD40" w14:textId="201A68AD" w:rsidR="00CB5000" w:rsidRPr="00AB1B90" w:rsidRDefault="00FC112C" w:rsidP="00F1735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  <w:r w:rsidR="00CB5000"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CB500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B5000" w:rsidRPr="00AB1B90" w14:paraId="532F9E59" w14:textId="77777777" w:rsidTr="00B011B9">
        <w:trPr>
          <w:trHeight w:val="413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1EBF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56E0" w14:textId="17DE320E" w:rsidR="00CB5000" w:rsidRPr="00AB1B90" w:rsidRDefault="00644013" w:rsidP="00644013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64401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41: Onorari di professionisti, periti e consulenti</w:t>
            </w:r>
          </w:p>
        </w:tc>
      </w:tr>
      <w:tr w:rsidR="00CB5000" w:rsidRPr="00AB1B90" w14:paraId="047D9AB0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A767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35509EA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06A1446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A2DB" w14:textId="016CE8BA" w:rsidR="009F7956" w:rsidRPr="007D0938" w:rsidRDefault="00CB5000" w:rsidP="009F7956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Elevazione del</w:t>
            </w:r>
            <w:r w:rsidR="0064401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limite assicurato </w:t>
            </w:r>
          </w:p>
          <w:p w14:paraId="59361B7D" w14:textId="77777777" w:rsidR="00CB500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BC96839" w14:textId="2617C637" w:rsidR="00CB500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</w:t>
            </w:r>
          </w:p>
          <w:p w14:paraId="48B01611" w14:textId="791BFD20" w:rsidR="00CB5000" w:rsidRDefault="006919C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A4423">
              <w:t>15</w:t>
            </w:r>
            <w:r w:rsidRPr="006919C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% del danno, e in ogni caso fino alla concorrenza di € 50.000,00 per sinistro e per anno</w:t>
            </w:r>
          </w:p>
          <w:p w14:paraId="264B6F55" w14:textId="5BE70E4B" w:rsidR="00CB500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 </w:t>
            </w:r>
          </w:p>
          <w:p w14:paraId="3913D2F9" w14:textId="7CA6AC28" w:rsidR="006919C7" w:rsidRDefault="006919C7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€ 100.000,00</w:t>
            </w:r>
          </w:p>
          <w:p w14:paraId="36FACB99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4E617D81" w14:textId="18D2ABB6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49179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  <w:p w14:paraId="0D189E4D" w14:textId="77777777" w:rsidR="00CB5000" w:rsidRPr="00AB1B90" w:rsidRDefault="00CB5000" w:rsidP="00F17351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B52F49" w:rsidRPr="00AB1B90" w14:paraId="16E1E1EE" w14:textId="77777777" w:rsidTr="009A5BA5">
        <w:trPr>
          <w:trHeight w:val="20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5F7733B" w14:textId="458FC3CC" w:rsidR="00B52F49" w:rsidRPr="00AB1B90" w:rsidRDefault="00B52F49" w:rsidP="00B52F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10C7B45" w14:textId="53EA71BC" w:rsidR="00B52F49" w:rsidRDefault="009A5BA5" w:rsidP="00B52F49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B52F49" w:rsidRPr="00AB1B9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B52F4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52F49" w:rsidRPr="00AB1B90" w14:paraId="04C8509C" w14:textId="77777777" w:rsidTr="00B52F49">
        <w:trPr>
          <w:trHeight w:val="566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3575" w14:textId="5064E3C0" w:rsidR="00B52F49" w:rsidRPr="00AB1B90" w:rsidRDefault="00B52F49" w:rsidP="00B52F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AB1B9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CD14" w14:textId="6CF31779" w:rsidR="00B52F49" w:rsidRDefault="000E5B87" w:rsidP="00B52F49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46: Opere d’arte acquisite durante l’efficacia del contratto</w:t>
            </w:r>
          </w:p>
        </w:tc>
      </w:tr>
      <w:tr w:rsidR="00B52F49" w:rsidRPr="00AB1B90" w14:paraId="1C86AA13" w14:textId="77777777" w:rsidTr="00B011B9">
        <w:trPr>
          <w:trHeight w:val="1214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2A12" w14:textId="77777777" w:rsidR="00B52F49" w:rsidRPr="00AB1B90" w:rsidRDefault="00B52F49" w:rsidP="00B52F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EA92" w14:textId="77777777" w:rsidR="000E5B87" w:rsidRDefault="000E5B87" w:rsidP="000E5B87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Elevazione del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la soglia di operatività</w:t>
            </w:r>
          </w:p>
          <w:p w14:paraId="1CAFD953" w14:textId="618CC25D" w:rsidR="000E5B87" w:rsidRPr="000E5B87" w:rsidRDefault="000E5B87" w:rsidP="000E5B87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Da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100.000,00€</w:t>
            </w:r>
          </w:p>
          <w:p w14:paraId="7031D979" w14:textId="519DCEE8" w:rsidR="000E5B87" w:rsidRPr="000E5B87" w:rsidRDefault="000E5B87" w:rsidP="000E5B87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 € </w:t>
            </w:r>
            <w:r w:rsidR="009A5BA5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00.000,00</w:t>
            </w:r>
          </w:p>
          <w:p w14:paraId="6087490D" w14:textId="77777777" w:rsidR="000E5B87" w:rsidRPr="000E5B87" w:rsidRDefault="000E5B87" w:rsidP="000E5B87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E5B8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PUNTI ATTRIBUIBILI: + 6</w:t>
            </w:r>
          </w:p>
          <w:p w14:paraId="275FAD43" w14:textId="77777777" w:rsidR="00B52F49" w:rsidRDefault="00B52F49" w:rsidP="00B52F49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</w:tbl>
    <w:p w14:paraId="24EEB7D0" w14:textId="77777777" w:rsidR="006E3849" w:rsidRDefault="006E3849" w:rsidP="006E3849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63ACD03D" w14:textId="2034CED0" w:rsidR="006E3849" w:rsidRPr="006E3849" w:rsidRDefault="006E3849" w:rsidP="006E3849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  <w:r w:rsidRPr="006E3849"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  <w:t>Apprezzamento della variante Peggiorativa</w:t>
      </w:r>
    </w:p>
    <w:p w14:paraId="77BD920B" w14:textId="77777777" w:rsidR="006E3849" w:rsidRPr="006E3849" w:rsidRDefault="006E3849" w:rsidP="006E3849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3E98A0B0" w14:textId="77777777" w:rsidR="006E3849" w:rsidRPr="006E3849" w:rsidRDefault="006E3849" w:rsidP="006E3849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</w:pPr>
      <w:r w:rsidRPr="006E3849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A pena di esclusione, si possono apportare fino ad un massimo di </w:t>
      </w:r>
      <w:proofErr w:type="gramStart"/>
      <w:r w:rsidRPr="006E3849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>3</w:t>
      </w:r>
      <w:proofErr w:type="gramEnd"/>
      <w:r w:rsidRPr="006E3849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 varianti</w:t>
      </w:r>
    </w:p>
    <w:p w14:paraId="005960F9" w14:textId="77777777" w:rsidR="006E3849" w:rsidRPr="006E3849" w:rsidRDefault="006E3849" w:rsidP="006E3849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sectPr w:rsidR="006E3849" w:rsidRPr="006E3849">
      <w:footerReference w:type="default" r:id="rId7"/>
      <w:pgSz w:w="11906" w:h="16838"/>
      <w:pgMar w:top="1417" w:right="1134" w:bottom="1134" w:left="1134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2C5A" w14:textId="77777777" w:rsidR="0023293F" w:rsidRDefault="0023293F">
      <w:pPr>
        <w:spacing w:after="0" w:line="240" w:lineRule="auto"/>
      </w:pPr>
      <w:r>
        <w:separator/>
      </w:r>
    </w:p>
  </w:endnote>
  <w:endnote w:type="continuationSeparator" w:id="0">
    <w:p w14:paraId="40990393" w14:textId="77777777" w:rsidR="0023293F" w:rsidRDefault="00232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BE4" w14:textId="77777777" w:rsidR="00591BF6" w:rsidRDefault="00591BF6">
    <w:pPr>
      <w:spacing w:after="0" w:line="240" w:lineRule="auto"/>
      <w:jc w:val="right"/>
      <w:rPr>
        <w:rFonts w:ascii="Calibri,Bold" w:hAnsi="Calibri,Bold" w:cs="Calibri,Bold"/>
        <w:bCs/>
        <w:color w:val="A6A6A6"/>
        <w:sz w:val="18"/>
        <w:szCs w:val="18"/>
      </w:rPr>
    </w:pPr>
    <w:r>
      <w:rPr>
        <w:rFonts w:ascii="Calibri,Bold" w:hAnsi="Calibri,Bold" w:cs="Calibri,Bold"/>
        <w:bCs/>
        <w:color w:val="A6A6A6"/>
        <w:sz w:val="18"/>
        <w:szCs w:val="18"/>
      </w:rPr>
      <w:t xml:space="preserve">Allegato COT al Disciplinare di gara </w:t>
    </w:r>
  </w:p>
  <w:p w14:paraId="00489A60" w14:textId="77777777" w:rsidR="00591BF6" w:rsidRDefault="00591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1ABCD" w14:textId="77777777" w:rsidR="0023293F" w:rsidRDefault="0023293F">
      <w:pPr>
        <w:spacing w:after="0" w:line="240" w:lineRule="auto"/>
      </w:pPr>
      <w:r>
        <w:separator/>
      </w:r>
    </w:p>
  </w:footnote>
  <w:footnote w:type="continuationSeparator" w:id="0">
    <w:p w14:paraId="67B106DF" w14:textId="77777777" w:rsidR="0023293F" w:rsidRDefault="00232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AD8"/>
    <w:multiLevelType w:val="multilevel"/>
    <w:tmpl w:val="9A08C95E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ED11AF9"/>
    <w:multiLevelType w:val="hybridMultilevel"/>
    <w:tmpl w:val="FD2E6A3E"/>
    <w:lvl w:ilvl="0" w:tplc="547CADC4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207A4"/>
    <w:multiLevelType w:val="multilevel"/>
    <w:tmpl w:val="884C6180"/>
    <w:lvl w:ilvl="0">
      <w:start w:val="1"/>
      <w:numFmt w:val="bullet"/>
      <w:lvlText w:val="-"/>
      <w:lvlJc w:val="left"/>
      <w:pPr>
        <w:tabs>
          <w:tab w:val="num" w:pos="0"/>
        </w:tabs>
        <w:ind w:left="453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42711"/>
    <w:multiLevelType w:val="multilevel"/>
    <w:tmpl w:val="C2467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F0740"/>
    <w:multiLevelType w:val="multilevel"/>
    <w:tmpl w:val="86422A6A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5C02107F"/>
    <w:multiLevelType w:val="hybridMultilevel"/>
    <w:tmpl w:val="06AAEC0C"/>
    <w:lvl w:ilvl="0" w:tplc="D21C0B5C">
      <w:start w:val="1"/>
      <w:numFmt w:val="bullet"/>
      <w:lvlText w:val=""/>
      <w:lvlJc w:val="left"/>
      <w:pPr>
        <w:ind w:left="1434" w:hanging="360"/>
      </w:pPr>
      <w:rPr>
        <w:rFonts w:ascii="Symbol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Times New Roman" w:hint="default"/>
      </w:rPr>
    </w:lvl>
  </w:abstractNum>
  <w:num w:numId="1" w16cid:durableId="1949846960">
    <w:abstractNumId w:val="2"/>
  </w:num>
  <w:num w:numId="2" w16cid:durableId="1879538644">
    <w:abstractNumId w:val="0"/>
  </w:num>
  <w:num w:numId="3" w16cid:durableId="289898251">
    <w:abstractNumId w:val="4"/>
  </w:num>
  <w:num w:numId="4" w16cid:durableId="625938679">
    <w:abstractNumId w:val="3"/>
  </w:num>
  <w:num w:numId="5" w16cid:durableId="1935624691">
    <w:abstractNumId w:val="1"/>
  </w:num>
  <w:num w:numId="6" w16cid:durableId="189585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52"/>
    <w:rsid w:val="00013118"/>
    <w:rsid w:val="00013812"/>
    <w:rsid w:val="000343CA"/>
    <w:rsid w:val="00050E52"/>
    <w:rsid w:val="00055C80"/>
    <w:rsid w:val="000822DD"/>
    <w:rsid w:val="000900A0"/>
    <w:rsid w:val="00093577"/>
    <w:rsid w:val="00093AF9"/>
    <w:rsid w:val="000963AF"/>
    <w:rsid w:val="000A088B"/>
    <w:rsid w:val="000A1849"/>
    <w:rsid w:val="000A3801"/>
    <w:rsid w:val="000C16A1"/>
    <w:rsid w:val="000D2E6B"/>
    <w:rsid w:val="000D5DD5"/>
    <w:rsid w:val="000D7E91"/>
    <w:rsid w:val="000E278D"/>
    <w:rsid w:val="000E5B87"/>
    <w:rsid w:val="000E7F19"/>
    <w:rsid w:val="000F1222"/>
    <w:rsid w:val="000F7422"/>
    <w:rsid w:val="001108A9"/>
    <w:rsid w:val="00113E1E"/>
    <w:rsid w:val="00123B7B"/>
    <w:rsid w:val="0012443F"/>
    <w:rsid w:val="00141218"/>
    <w:rsid w:val="00141FE8"/>
    <w:rsid w:val="00154E9E"/>
    <w:rsid w:val="0015773E"/>
    <w:rsid w:val="00164757"/>
    <w:rsid w:val="001716EC"/>
    <w:rsid w:val="00171EA7"/>
    <w:rsid w:val="00190AD3"/>
    <w:rsid w:val="001948A9"/>
    <w:rsid w:val="00195794"/>
    <w:rsid w:val="001A3397"/>
    <w:rsid w:val="001A38F3"/>
    <w:rsid w:val="001A74D5"/>
    <w:rsid w:val="001C2070"/>
    <w:rsid w:val="001D6C6E"/>
    <w:rsid w:val="001E2495"/>
    <w:rsid w:val="00200796"/>
    <w:rsid w:val="00215DFC"/>
    <w:rsid w:val="00215E2A"/>
    <w:rsid w:val="00217499"/>
    <w:rsid w:val="0022083F"/>
    <w:rsid w:val="00220E48"/>
    <w:rsid w:val="0023293F"/>
    <w:rsid w:val="002373AE"/>
    <w:rsid w:val="00262379"/>
    <w:rsid w:val="002643B2"/>
    <w:rsid w:val="00270E91"/>
    <w:rsid w:val="00271D33"/>
    <w:rsid w:val="0027200E"/>
    <w:rsid w:val="00290FB5"/>
    <w:rsid w:val="00297898"/>
    <w:rsid w:val="002B2E96"/>
    <w:rsid w:val="002C2829"/>
    <w:rsid w:val="002C4DCC"/>
    <w:rsid w:val="002D4FD0"/>
    <w:rsid w:val="002E45CC"/>
    <w:rsid w:val="002E5740"/>
    <w:rsid w:val="002F55E7"/>
    <w:rsid w:val="00302F3D"/>
    <w:rsid w:val="00303785"/>
    <w:rsid w:val="003042A6"/>
    <w:rsid w:val="0030432C"/>
    <w:rsid w:val="00306CD0"/>
    <w:rsid w:val="003071A1"/>
    <w:rsid w:val="00327AA1"/>
    <w:rsid w:val="00352ADB"/>
    <w:rsid w:val="00352EDC"/>
    <w:rsid w:val="00377641"/>
    <w:rsid w:val="00384E28"/>
    <w:rsid w:val="00390376"/>
    <w:rsid w:val="003A0F83"/>
    <w:rsid w:val="003C25B2"/>
    <w:rsid w:val="003D2A6E"/>
    <w:rsid w:val="003D6513"/>
    <w:rsid w:val="003E38E7"/>
    <w:rsid w:val="003E568F"/>
    <w:rsid w:val="003F5FDD"/>
    <w:rsid w:val="00432A62"/>
    <w:rsid w:val="00435E2C"/>
    <w:rsid w:val="00437B31"/>
    <w:rsid w:val="0045299E"/>
    <w:rsid w:val="004537E6"/>
    <w:rsid w:val="00454537"/>
    <w:rsid w:val="00467436"/>
    <w:rsid w:val="00467B6A"/>
    <w:rsid w:val="00474F69"/>
    <w:rsid w:val="00484018"/>
    <w:rsid w:val="00486730"/>
    <w:rsid w:val="004869EF"/>
    <w:rsid w:val="0049179B"/>
    <w:rsid w:val="00497712"/>
    <w:rsid w:val="004D12FB"/>
    <w:rsid w:val="004E1ABC"/>
    <w:rsid w:val="004E784D"/>
    <w:rsid w:val="004F5A0B"/>
    <w:rsid w:val="004F7C76"/>
    <w:rsid w:val="00501E97"/>
    <w:rsid w:val="0051225C"/>
    <w:rsid w:val="00514763"/>
    <w:rsid w:val="0051537E"/>
    <w:rsid w:val="00523FE1"/>
    <w:rsid w:val="00526E6D"/>
    <w:rsid w:val="00537D87"/>
    <w:rsid w:val="0054394D"/>
    <w:rsid w:val="00550896"/>
    <w:rsid w:val="00554CE5"/>
    <w:rsid w:val="00561A5F"/>
    <w:rsid w:val="00561EB7"/>
    <w:rsid w:val="00562A18"/>
    <w:rsid w:val="00564179"/>
    <w:rsid w:val="0057007F"/>
    <w:rsid w:val="00572996"/>
    <w:rsid w:val="00574418"/>
    <w:rsid w:val="00582B71"/>
    <w:rsid w:val="005916BF"/>
    <w:rsid w:val="00591BF6"/>
    <w:rsid w:val="005978F4"/>
    <w:rsid w:val="005A2929"/>
    <w:rsid w:val="005C7160"/>
    <w:rsid w:val="005D68E4"/>
    <w:rsid w:val="005E1203"/>
    <w:rsid w:val="005E2DD4"/>
    <w:rsid w:val="005E39FF"/>
    <w:rsid w:val="00613421"/>
    <w:rsid w:val="00632A63"/>
    <w:rsid w:val="00636F8E"/>
    <w:rsid w:val="00637B4B"/>
    <w:rsid w:val="00644013"/>
    <w:rsid w:val="00661A67"/>
    <w:rsid w:val="00662567"/>
    <w:rsid w:val="00663886"/>
    <w:rsid w:val="00663D7F"/>
    <w:rsid w:val="006640A1"/>
    <w:rsid w:val="00674AFE"/>
    <w:rsid w:val="00674C49"/>
    <w:rsid w:val="00681CD8"/>
    <w:rsid w:val="006845C3"/>
    <w:rsid w:val="006919C7"/>
    <w:rsid w:val="006C7AC6"/>
    <w:rsid w:val="006D0C6A"/>
    <w:rsid w:val="006D32CB"/>
    <w:rsid w:val="006D4D83"/>
    <w:rsid w:val="006E3849"/>
    <w:rsid w:val="006F2C4C"/>
    <w:rsid w:val="007039D0"/>
    <w:rsid w:val="00704C04"/>
    <w:rsid w:val="00706DCF"/>
    <w:rsid w:val="00731A64"/>
    <w:rsid w:val="00750D1A"/>
    <w:rsid w:val="00763C78"/>
    <w:rsid w:val="00776EAA"/>
    <w:rsid w:val="00793C09"/>
    <w:rsid w:val="007A3912"/>
    <w:rsid w:val="007A6BDD"/>
    <w:rsid w:val="007B0C82"/>
    <w:rsid w:val="007B5A82"/>
    <w:rsid w:val="007C502C"/>
    <w:rsid w:val="007D0938"/>
    <w:rsid w:val="007E73B0"/>
    <w:rsid w:val="00801CA6"/>
    <w:rsid w:val="00805EB0"/>
    <w:rsid w:val="00817279"/>
    <w:rsid w:val="00835144"/>
    <w:rsid w:val="008419A8"/>
    <w:rsid w:val="0084756C"/>
    <w:rsid w:val="00863ABA"/>
    <w:rsid w:val="00882DB7"/>
    <w:rsid w:val="008855D6"/>
    <w:rsid w:val="00891DF4"/>
    <w:rsid w:val="008A4F1F"/>
    <w:rsid w:val="008B6AFF"/>
    <w:rsid w:val="008C0F8D"/>
    <w:rsid w:val="008C7077"/>
    <w:rsid w:val="008D360E"/>
    <w:rsid w:val="008E478E"/>
    <w:rsid w:val="008F0ADC"/>
    <w:rsid w:val="0091084D"/>
    <w:rsid w:val="00933179"/>
    <w:rsid w:val="00942BCA"/>
    <w:rsid w:val="00946496"/>
    <w:rsid w:val="009464D9"/>
    <w:rsid w:val="00964A0A"/>
    <w:rsid w:val="00972929"/>
    <w:rsid w:val="00995983"/>
    <w:rsid w:val="009A33FB"/>
    <w:rsid w:val="009A5BA5"/>
    <w:rsid w:val="009B05E7"/>
    <w:rsid w:val="009B469B"/>
    <w:rsid w:val="009C078E"/>
    <w:rsid w:val="009C68FF"/>
    <w:rsid w:val="009C6D0F"/>
    <w:rsid w:val="009D7606"/>
    <w:rsid w:val="009E3ABB"/>
    <w:rsid w:val="009F7956"/>
    <w:rsid w:val="00A03264"/>
    <w:rsid w:val="00A07A4F"/>
    <w:rsid w:val="00A148D9"/>
    <w:rsid w:val="00A247AD"/>
    <w:rsid w:val="00A30456"/>
    <w:rsid w:val="00A3178C"/>
    <w:rsid w:val="00A33284"/>
    <w:rsid w:val="00A53871"/>
    <w:rsid w:val="00A611B0"/>
    <w:rsid w:val="00A929CD"/>
    <w:rsid w:val="00AB1B90"/>
    <w:rsid w:val="00AC2F19"/>
    <w:rsid w:val="00AD33BF"/>
    <w:rsid w:val="00AD3484"/>
    <w:rsid w:val="00AD3B7D"/>
    <w:rsid w:val="00AD5DDB"/>
    <w:rsid w:val="00AE565B"/>
    <w:rsid w:val="00AF0F9D"/>
    <w:rsid w:val="00AF2439"/>
    <w:rsid w:val="00B011B9"/>
    <w:rsid w:val="00B20DB2"/>
    <w:rsid w:val="00B213DB"/>
    <w:rsid w:val="00B267E1"/>
    <w:rsid w:val="00B47705"/>
    <w:rsid w:val="00B52105"/>
    <w:rsid w:val="00B52F49"/>
    <w:rsid w:val="00B564F2"/>
    <w:rsid w:val="00B61306"/>
    <w:rsid w:val="00B662D2"/>
    <w:rsid w:val="00B701BF"/>
    <w:rsid w:val="00B7566E"/>
    <w:rsid w:val="00B813B1"/>
    <w:rsid w:val="00B82DCD"/>
    <w:rsid w:val="00B845D3"/>
    <w:rsid w:val="00B85EBA"/>
    <w:rsid w:val="00B87EFF"/>
    <w:rsid w:val="00B96C7B"/>
    <w:rsid w:val="00BB480A"/>
    <w:rsid w:val="00BB49EB"/>
    <w:rsid w:val="00BC0462"/>
    <w:rsid w:val="00BC1705"/>
    <w:rsid w:val="00BD3466"/>
    <w:rsid w:val="00BE0AEF"/>
    <w:rsid w:val="00BE1E21"/>
    <w:rsid w:val="00BF3381"/>
    <w:rsid w:val="00BF3664"/>
    <w:rsid w:val="00BF381F"/>
    <w:rsid w:val="00BF58E8"/>
    <w:rsid w:val="00C03A3E"/>
    <w:rsid w:val="00C0455A"/>
    <w:rsid w:val="00C163C2"/>
    <w:rsid w:val="00C17A71"/>
    <w:rsid w:val="00C2081F"/>
    <w:rsid w:val="00C23D1C"/>
    <w:rsid w:val="00C27296"/>
    <w:rsid w:val="00C31B7F"/>
    <w:rsid w:val="00C33A1D"/>
    <w:rsid w:val="00C52687"/>
    <w:rsid w:val="00C6167B"/>
    <w:rsid w:val="00C65E0F"/>
    <w:rsid w:val="00C9019D"/>
    <w:rsid w:val="00C905DB"/>
    <w:rsid w:val="00C95A99"/>
    <w:rsid w:val="00CB5000"/>
    <w:rsid w:val="00CC669E"/>
    <w:rsid w:val="00CD0D95"/>
    <w:rsid w:val="00CD27C6"/>
    <w:rsid w:val="00CD2989"/>
    <w:rsid w:val="00CD76F1"/>
    <w:rsid w:val="00CF1CBD"/>
    <w:rsid w:val="00D14DD4"/>
    <w:rsid w:val="00D15F9C"/>
    <w:rsid w:val="00D26B3C"/>
    <w:rsid w:val="00D300E5"/>
    <w:rsid w:val="00D300FE"/>
    <w:rsid w:val="00D42E19"/>
    <w:rsid w:val="00D4532F"/>
    <w:rsid w:val="00D47B8B"/>
    <w:rsid w:val="00D553C7"/>
    <w:rsid w:val="00D642DC"/>
    <w:rsid w:val="00D66A86"/>
    <w:rsid w:val="00D72968"/>
    <w:rsid w:val="00D86D13"/>
    <w:rsid w:val="00D927E2"/>
    <w:rsid w:val="00DA20CB"/>
    <w:rsid w:val="00DA2647"/>
    <w:rsid w:val="00DB2CD7"/>
    <w:rsid w:val="00DB64CB"/>
    <w:rsid w:val="00DC0B2C"/>
    <w:rsid w:val="00DC350B"/>
    <w:rsid w:val="00DC616E"/>
    <w:rsid w:val="00DC7A77"/>
    <w:rsid w:val="00DD1543"/>
    <w:rsid w:val="00DD373B"/>
    <w:rsid w:val="00DD6F87"/>
    <w:rsid w:val="00DD7328"/>
    <w:rsid w:val="00DF3B9E"/>
    <w:rsid w:val="00DF4642"/>
    <w:rsid w:val="00E00758"/>
    <w:rsid w:val="00E01ABC"/>
    <w:rsid w:val="00E02126"/>
    <w:rsid w:val="00E02F99"/>
    <w:rsid w:val="00E06816"/>
    <w:rsid w:val="00E263D7"/>
    <w:rsid w:val="00E3273E"/>
    <w:rsid w:val="00E44779"/>
    <w:rsid w:val="00E44790"/>
    <w:rsid w:val="00E61708"/>
    <w:rsid w:val="00E64539"/>
    <w:rsid w:val="00E94564"/>
    <w:rsid w:val="00E972BD"/>
    <w:rsid w:val="00EA12D0"/>
    <w:rsid w:val="00EA414A"/>
    <w:rsid w:val="00EA4B6F"/>
    <w:rsid w:val="00EA65AD"/>
    <w:rsid w:val="00EB08E0"/>
    <w:rsid w:val="00EC08E6"/>
    <w:rsid w:val="00EC2CBA"/>
    <w:rsid w:val="00EC55EC"/>
    <w:rsid w:val="00EE22F7"/>
    <w:rsid w:val="00EE310A"/>
    <w:rsid w:val="00EE6121"/>
    <w:rsid w:val="00F0148C"/>
    <w:rsid w:val="00F04374"/>
    <w:rsid w:val="00F1151C"/>
    <w:rsid w:val="00F1502B"/>
    <w:rsid w:val="00F33897"/>
    <w:rsid w:val="00F3675A"/>
    <w:rsid w:val="00F45241"/>
    <w:rsid w:val="00F511E6"/>
    <w:rsid w:val="00F55443"/>
    <w:rsid w:val="00F601AB"/>
    <w:rsid w:val="00F602B3"/>
    <w:rsid w:val="00F60A2C"/>
    <w:rsid w:val="00F7545D"/>
    <w:rsid w:val="00F8237E"/>
    <w:rsid w:val="00F8483D"/>
    <w:rsid w:val="00F84A0C"/>
    <w:rsid w:val="00F84F9E"/>
    <w:rsid w:val="00F9203E"/>
    <w:rsid w:val="00F9399E"/>
    <w:rsid w:val="00F94CF0"/>
    <w:rsid w:val="00FB0593"/>
    <w:rsid w:val="00FB1F23"/>
    <w:rsid w:val="00FB339E"/>
    <w:rsid w:val="00FB3981"/>
    <w:rsid w:val="00FC032D"/>
    <w:rsid w:val="00FC112C"/>
    <w:rsid w:val="00FC522A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86A48"/>
  <w15:docId w15:val="{E761A7C9-9603-4EFC-9D05-9357A639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96"/>
    <w:pPr>
      <w:spacing w:after="200" w:line="276" w:lineRule="auto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sz w:val="20"/>
      <w:szCs w:val="20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Paragrafoelenco1">
    <w:name w:val="Paragrafo elenco1"/>
    <w:basedOn w:val="Normale"/>
    <w:qFormat/>
    <w:pPr>
      <w:spacing w:after="0" w:line="240" w:lineRule="auto"/>
      <w:ind w:left="708"/>
    </w:pPr>
    <w:rPr>
      <w:rFonts w:ascii="Times New Roman" w:hAnsi="Times New Roman"/>
      <w:sz w:val="20"/>
      <w:szCs w:val="20"/>
      <w:lang w:eastAsia="it-IT"/>
    </w:r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Corpodeltesto21">
    <w:name w:val="Corpo del testo 21"/>
    <w:basedOn w:val="Normale"/>
    <w:qFormat/>
    <w:pPr>
      <w:tabs>
        <w:tab w:val="left" w:pos="851"/>
      </w:tabs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901</Words>
  <Characters>5199</Characters>
  <Application>Microsoft Office Word</Application>
  <DocSecurity>0</DocSecurity>
  <Lines>192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dc:description/>
  <cp:lastModifiedBy>Albanese, Nicola</cp:lastModifiedBy>
  <cp:revision>17</cp:revision>
  <dcterms:created xsi:type="dcterms:W3CDTF">2023-03-24T09:51:00Z</dcterms:created>
  <dcterms:modified xsi:type="dcterms:W3CDTF">2023-09-20T15:11:00Z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ActionId">
    <vt:lpwstr>17d1ad73-ca15-43dd-b17d-1e49b63d918a</vt:lpwstr>
  </property>
  <property fmtid="{D5CDD505-2E9C-101B-9397-08002B2CF9AE}" pid="3" name="MSIP_Label_d347b247-e90e-43a3-9d7b-004f14ae6873_ContentBits">
    <vt:lpwstr>0</vt:lpwstr>
  </property>
  <property fmtid="{D5CDD505-2E9C-101B-9397-08002B2CF9AE}" pid="4" name="MSIP_Label_d347b247-e90e-43a3-9d7b-004f14ae6873_Enabled">
    <vt:lpwstr>true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etDate">
    <vt:lpwstr>2021-04-16T09:42:20Z</vt:lpwstr>
  </property>
  <property fmtid="{D5CDD505-2E9C-101B-9397-08002B2CF9AE}" pid="8" name="MSIP_Label_d347b247-e90e-43a3-9d7b-004f14ae6873_SiteId">
    <vt:lpwstr>76e3921f-489b-4b7e-9547-9ea297add9b5</vt:lpwstr>
  </property>
  <property fmtid="{D5CDD505-2E9C-101B-9397-08002B2CF9AE}" pid="9" name="_NewReviewCycle">
    <vt:lpwstr/>
  </property>
</Properties>
</file>